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Відповідно до Постанови Кабінету Міністрів України № 172 від 19 березня 1994 року, ювелірні вироби належної якості не підлягають обміну або поверненню.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Якщо у виробі виявлено виробничий брак або інший дефект, покупець має право звернутися для обміну товару або повернення коштів відповідно до вимог чинного законодавства України.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f60ecrlt96d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Умови звернення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розгляду звернення необхідно, щоб: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звернення було подано не пізніше ніж протягом </w:t>
      </w:r>
      <w:r w:rsidDel="00000000" w:rsidR="00000000" w:rsidRPr="00000000">
        <w:rPr>
          <w:b w:val="1"/>
          <w:bCs w:val="1"/>
          <w:rtl w:val="0"/>
        </w:rPr>
        <w:t xml:space="preserve">14 календарних днів</w:t>
      </w:r>
      <w:r w:rsidDel="00000000" w:rsidR="00000000" w:rsidRPr="00000000">
        <w:rPr>
          <w:rtl w:val="0"/>
        </w:rPr>
        <w:t xml:space="preserve"> з моменту отримання замовлення;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виріб мав повну комплектацію;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були збережені пломба та ярлик виробу;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дефект не був спричинений порушенням правил експлуатації, механічними пошкодженнями або іншими діями покупця.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36avh7vack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Порядок обміну або повернення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Покупець надсилає виріб на адресу, зазначену продавцем.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виробу до продавця здійснюється за рахунок покупця.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Після отримання виробу проводиться його перевірка.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Якщо підтверджено наявність виробничого браку, продавець здійснює обмін товару або повернення коштів протягом </w:t>
      </w:r>
      <w:r w:rsidDel="00000000" w:rsidR="00000000" w:rsidRPr="00000000">
        <w:rPr>
          <w:b w:val="1"/>
          <w:bCs w:val="1"/>
          <w:rtl w:val="0"/>
        </w:rPr>
        <w:t xml:space="preserve">7 календарних днів</w:t>
      </w:r>
      <w:r w:rsidDel="00000000" w:rsidR="00000000" w:rsidRPr="00000000">
        <w:rPr>
          <w:rtl w:val="0"/>
        </w:rPr>
        <w:t xml:space="preserve"> після завершення перевірки.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eq41qeximv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Обмін або повернення не здійснюються, якщо: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виріб не має виробничого браку;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відсутні пломба або ярлик;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виробі є сліди використання;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виріб має механічні пошкодження, що виникли після отримання покупцем;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дефект виник унаслідок неправильного використання або зберігання виробу.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